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5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829"/>
        <w:gridCol w:w="167"/>
        <w:gridCol w:w="54"/>
        <w:gridCol w:w="113"/>
        <w:gridCol w:w="54"/>
        <w:gridCol w:w="1974"/>
        <w:gridCol w:w="54"/>
        <w:gridCol w:w="386"/>
        <w:gridCol w:w="440"/>
        <w:gridCol w:w="6363"/>
      </w:tblGrid>
      <w:tr w:rsidR="005C70C0" w:rsidRPr="00114DEE" w14:paraId="0C06D2DE" w14:textId="77777777" w:rsidTr="00556923">
        <w:trPr>
          <w:gridAfter w:val="3"/>
          <w:wAfter w:w="7189" w:type="dxa"/>
          <w:trHeight w:val="30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3DF4" w14:textId="66E7A4BE" w:rsidR="005C70C0" w:rsidRPr="00114DEE" w:rsidRDefault="005C70C0" w:rsidP="0055692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VERKSAMHETSBERÄTTELSE 2021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8CC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509B906B" w14:textId="77777777" w:rsidTr="00556923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572D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52F4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535A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6F26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DB45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76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6C779623" w14:textId="77777777" w:rsidTr="00556923">
        <w:trPr>
          <w:gridAfter w:val="2"/>
          <w:wAfter w:w="6803" w:type="dxa"/>
          <w:trHeight w:val="42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391" w14:textId="77777777" w:rsidR="005C70C0" w:rsidRPr="00114DEE" w:rsidRDefault="005C70C0" w:rsidP="00556923">
            <w:pPr>
              <w:rPr>
                <w:rFonts w:ascii="Arial" w:eastAsia="Times New Roman" w:hAnsi="Arial" w:cs="Arial"/>
                <w:b/>
                <w:bCs/>
              </w:rPr>
            </w:pPr>
            <w:r w:rsidRPr="00114DEE">
              <w:rPr>
                <w:rFonts w:ascii="Arial" w:eastAsia="Times New Roman" w:hAnsi="Arial" w:cs="Arial"/>
                <w:b/>
                <w:bCs/>
              </w:rPr>
              <w:t>Allmänt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4B1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CD3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C6A6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A333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DA6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1EF5CD73" w14:textId="77777777" w:rsidTr="005C70C0">
        <w:trPr>
          <w:trHeight w:val="260"/>
        </w:trPr>
        <w:tc>
          <w:tcPr>
            <w:tcW w:w="19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F1B4" w14:textId="055A683E" w:rsidR="005C70C0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Det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femtiosjätte 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verksamhetsåret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 samtliga grenar ställdes in med anledning av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-19.  </w:t>
            </w:r>
          </w:p>
          <w:p w14:paraId="0E335282" w14:textId="77777777" w:rsidR="005C70C0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Någon medlemsavgift har inte tagits ut under året</w:t>
            </w:r>
            <w:r w:rsidR="00415063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="000C23D7">
              <w:rPr>
                <w:rFonts w:ascii="Arial" w:eastAsia="Times New Roman" w:hAnsi="Arial" w:cs="Arial"/>
                <w:sz w:val="22"/>
                <w:szCs w:val="22"/>
              </w:rPr>
              <w:t>Under tre tävlingsdagar under Lidingöloppet har</w:t>
            </w:r>
          </w:p>
          <w:p w14:paraId="4E89E02B" w14:textId="0E9508EC" w:rsidR="000C23D7" w:rsidRDefault="00D32B1D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0C23D7">
              <w:rPr>
                <w:rFonts w:ascii="Arial" w:eastAsia="Times New Roman" w:hAnsi="Arial" w:cs="Arial"/>
                <w:sz w:val="22"/>
                <w:szCs w:val="22"/>
              </w:rPr>
              <w:t xml:space="preserve">edlemmar i Motionspokalen totalt medverkat med 202 arbetstimmar, vilket inbringat </w:t>
            </w:r>
            <w:proofErr w:type="gramStart"/>
            <w:r w:rsidR="000C23D7">
              <w:rPr>
                <w:rFonts w:ascii="Arial" w:eastAsia="Times New Roman" w:hAnsi="Arial" w:cs="Arial"/>
                <w:sz w:val="22"/>
                <w:szCs w:val="22"/>
              </w:rPr>
              <w:t>13340</w:t>
            </w:r>
            <w:proofErr w:type="gramEnd"/>
            <w:r w:rsidR="000C23D7">
              <w:rPr>
                <w:rFonts w:ascii="Arial" w:eastAsia="Times New Roman" w:hAnsi="Arial" w:cs="Arial"/>
                <w:sz w:val="22"/>
                <w:szCs w:val="22"/>
              </w:rPr>
              <w:t xml:space="preserve"> kronor till </w:t>
            </w:r>
          </w:p>
          <w:p w14:paraId="66E94B2C" w14:textId="73EE42CF" w:rsidR="000C23D7" w:rsidRPr="00114DEE" w:rsidRDefault="000C23D7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föreningen.</w:t>
            </w:r>
          </w:p>
        </w:tc>
      </w:tr>
      <w:tr w:rsidR="005C70C0" w:rsidRPr="00114DEE" w14:paraId="59D61E1A" w14:textId="77777777" w:rsidTr="00556923">
        <w:trPr>
          <w:gridAfter w:val="3"/>
          <w:wAfter w:w="7189" w:type="dxa"/>
          <w:trHeight w:val="26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EEEA" w14:textId="77777777" w:rsidR="005C70C0" w:rsidRPr="00BC0671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2AE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57CC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465BC5C8" w14:textId="77777777" w:rsidTr="00556923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1FE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38E1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0500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B52E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79E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F99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78C36100" w14:textId="77777777" w:rsidTr="00556923">
        <w:trPr>
          <w:gridAfter w:val="2"/>
          <w:wAfter w:w="680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6225" w14:textId="77777777" w:rsidR="005C70C0" w:rsidRPr="00114DEE" w:rsidRDefault="005C70C0" w:rsidP="0055692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Tävlingsverksamhet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1323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FC8E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C16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7DE3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4C5BBF6E" w14:textId="77777777" w:rsidTr="00556923">
        <w:trPr>
          <w:gridAfter w:val="3"/>
          <w:wAfter w:w="7189" w:type="dxa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40CC" w14:textId="4BA1BBA0" w:rsidR="005C70C0" w:rsidRPr="00114DEE" w:rsidRDefault="000C23D7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Ingen verksamhet har ge</w:t>
            </w:r>
            <w:r w:rsidR="00F43690">
              <w:rPr>
                <w:rFonts w:ascii="Arial" w:eastAsia="Times New Roman" w:hAnsi="Arial" w:cs="Arial"/>
                <w:sz w:val="22"/>
                <w:szCs w:val="22"/>
              </w:rPr>
              <w:t>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omförts</w:t>
            </w:r>
            <w:r w:rsidR="005C70C0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</w:p>
        </w:tc>
      </w:tr>
      <w:tr w:rsidR="005C70C0" w:rsidRPr="00114DEE" w14:paraId="0094611D" w14:textId="77777777" w:rsidTr="005C70C0">
        <w:trPr>
          <w:trHeight w:val="260"/>
        </w:trPr>
        <w:tc>
          <w:tcPr>
            <w:tcW w:w="19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B965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57E740F8" w14:textId="77777777" w:rsidTr="005C70C0">
        <w:trPr>
          <w:trHeight w:val="260"/>
        </w:trPr>
        <w:tc>
          <w:tcPr>
            <w:tcW w:w="19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4E1B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6574A4" w14:paraId="48EFBCE8" w14:textId="77777777" w:rsidTr="005C70C0">
        <w:trPr>
          <w:trHeight w:val="260"/>
        </w:trPr>
        <w:tc>
          <w:tcPr>
            <w:tcW w:w="19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4342" w14:textId="77777777" w:rsidR="005C70C0" w:rsidRDefault="005C70C0" w:rsidP="0055692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Prisutdelning</w:t>
            </w:r>
          </w:p>
          <w:p w14:paraId="67851AA8" w14:textId="77777777" w:rsidR="005C70C0" w:rsidRDefault="005C70C0" w:rsidP="00556923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Ingen.</w:t>
            </w:r>
          </w:p>
          <w:p w14:paraId="785C9D82" w14:textId="77777777" w:rsidR="005C70C0" w:rsidRDefault="005C70C0" w:rsidP="00556923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14137572" w14:textId="77777777" w:rsidR="005C70C0" w:rsidRDefault="005C70C0" w:rsidP="0055692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7067F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Årsmöte</w:t>
            </w:r>
          </w:p>
          <w:p w14:paraId="498D5B93" w14:textId="5A84DDC6" w:rsidR="005C70C0" w:rsidRDefault="005C70C0" w:rsidP="00556923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067F2">
              <w:rPr>
                <w:rFonts w:ascii="Arial" w:eastAsia="Times New Roman" w:hAnsi="Arial" w:cs="Arial"/>
                <w:bCs/>
                <w:sz w:val="22"/>
                <w:szCs w:val="22"/>
              </w:rPr>
              <w:t>Avhö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lls </w:t>
            </w:r>
            <w:r w:rsidR="00F43690">
              <w:rPr>
                <w:rFonts w:ascii="Arial" w:eastAsia="Times New Roman" w:hAnsi="Arial" w:cs="Arial"/>
                <w:bCs/>
                <w:sz w:val="22"/>
                <w:szCs w:val="22"/>
              </w:rPr>
              <w:t>den 27 november, 11 personer var närvarande</w:t>
            </w:r>
            <w:r w:rsidRPr="007067F2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35C7D946" w14:textId="4C54825D" w:rsidR="00F43690" w:rsidRDefault="00F4369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En motion hade inkommit och gällde kastlängde</w:t>
            </w:r>
            <w:r w:rsidR="00B20CAA">
              <w:rPr>
                <w:rFonts w:ascii="Arial" w:eastAsia="Times New Roman" w:hAnsi="Arial" w:cs="Arial"/>
                <w:sz w:val="22"/>
                <w:szCs w:val="22"/>
              </w:rPr>
              <w:t>rna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i varpa</w:t>
            </w:r>
            <w:r w:rsidR="005C70C0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Beslut togs att korta kastlängderna i klasserna</w:t>
            </w:r>
          </w:p>
          <w:p w14:paraId="4EFEE2FA" w14:textId="6119F6A9" w:rsidR="005C70C0" w:rsidRPr="006574A4" w:rsidRDefault="00F4369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GY,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GÄ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, GV</w:t>
            </w:r>
            <w:r w:rsidR="00B20CAA">
              <w:rPr>
                <w:rFonts w:ascii="Arial" w:eastAsia="Times New Roman" w:hAnsi="Arial" w:cs="Arial"/>
                <w:sz w:val="22"/>
                <w:szCs w:val="22"/>
              </w:rPr>
              <w:t xml:space="preserve">, GÄV och </w:t>
            </w:r>
            <w:proofErr w:type="spellStart"/>
            <w:r w:rsidR="00B20CAA">
              <w:rPr>
                <w:rFonts w:ascii="Arial" w:eastAsia="Times New Roman" w:hAnsi="Arial" w:cs="Arial"/>
                <w:sz w:val="22"/>
                <w:szCs w:val="22"/>
              </w:rPr>
              <w:t>LÄV</w:t>
            </w:r>
            <w:proofErr w:type="spellEnd"/>
            <w:r w:rsidR="00B20CAA">
              <w:rPr>
                <w:rFonts w:ascii="Arial" w:eastAsia="Times New Roman" w:hAnsi="Arial" w:cs="Arial"/>
                <w:sz w:val="22"/>
                <w:szCs w:val="22"/>
              </w:rPr>
              <w:t>. Uppdatering har gjorts i tävlingsbestämmelserna.</w:t>
            </w:r>
            <w:r w:rsidR="005C70C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23568317" w14:textId="77777777" w:rsidR="005C70C0" w:rsidRPr="006574A4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12AA7B02" w14:textId="77777777" w:rsidTr="005C70C0">
        <w:trPr>
          <w:trHeight w:val="260"/>
        </w:trPr>
        <w:tc>
          <w:tcPr>
            <w:tcW w:w="19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E8EC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24C802F7" w14:textId="77777777" w:rsidTr="005C70C0">
        <w:trPr>
          <w:trHeight w:val="260"/>
        </w:trPr>
        <w:tc>
          <w:tcPr>
            <w:tcW w:w="19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A3F7" w14:textId="77777777" w:rsidR="005C70C0" w:rsidRPr="00114DEE" w:rsidRDefault="005C70C0" w:rsidP="0055692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Ekonomi</w:t>
            </w:r>
          </w:p>
        </w:tc>
      </w:tr>
      <w:tr w:rsidR="005C70C0" w:rsidRPr="00114DEE" w14:paraId="5FE14634" w14:textId="77777777" w:rsidTr="00556923">
        <w:trPr>
          <w:gridAfter w:val="2"/>
          <w:wAfter w:w="680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751B" w14:textId="068404C1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Beslutades att m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edlemsavgift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er inbetalda för 2020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även sk</w:t>
            </w:r>
            <w:r w:rsidR="00B20CAA">
              <w:rPr>
                <w:rFonts w:ascii="Arial" w:eastAsia="Times New Roman" w:hAnsi="Arial" w:cs="Arial"/>
                <w:sz w:val="22"/>
                <w:szCs w:val="22"/>
              </w:rPr>
              <w:t>ulle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gälla för 2021, eftersom verksamheten varit begränsad. Avgiften har varit oförändrad sedan 2006</w:t>
            </w:r>
            <w:r w:rsidR="00B20CAA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mycket tack vare den ersättning som vi erhåller för vår insats i Lidingöloppet. Föreningens ekonomiska ställning per 20</w:t>
            </w:r>
            <w:r w:rsidR="00B20CAA">
              <w:rPr>
                <w:rFonts w:ascii="Arial" w:eastAsia="Times New Roman" w:hAnsi="Arial" w:cs="Arial"/>
                <w:sz w:val="22"/>
                <w:szCs w:val="22"/>
              </w:rPr>
              <w:t>20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-12-31 meddela</w:t>
            </w:r>
            <w:r w:rsidR="00B20CAA">
              <w:rPr>
                <w:rFonts w:ascii="Arial" w:eastAsia="Times New Roman" w:hAnsi="Arial" w:cs="Arial"/>
                <w:sz w:val="22"/>
                <w:szCs w:val="22"/>
              </w:rPr>
              <w:t>de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 vid årsmötet 202</w:t>
            </w:r>
            <w:r w:rsidR="00B20CAA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och Resultat- och Balansräkningar finns som bilaga till denna.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4933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12CE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242E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D27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6C14E5E9" w14:textId="77777777" w:rsidTr="00556923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F2E9A" w14:textId="77777777" w:rsidR="005C70C0" w:rsidRPr="00114DEE" w:rsidRDefault="005C70C0" w:rsidP="0055692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B17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007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3CAE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BA1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D967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129F675A" w14:textId="77777777" w:rsidTr="00556923">
        <w:trPr>
          <w:gridAfter w:val="1"/>
          <w:wAfter w:w="636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FCE7" w14:textId="77777777" w:rsidR="005C70C0" w:rsidRPr="00114DEE" w:rsidRDefault="005C70C0" w:rsidP="0055692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Hemsida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11F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22A7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14B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ECD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vAlign w:val="bottom"/>
          </w:tcPr>
          <w:p w14:paraId="229D9665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23295CDD" w14:textId="77777777" w:rsidTr="00556923">
        <w:trPr>
          <w:gridAfter w:val="3"/>
          <w:wAfter w:w="7189" w:type="dxa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A630" w14:textId="77777777" w:rsidR="005C70C0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Föreningens hemsida, vilken omarbetades 2013 och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2018-19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ger all information om Motionspokalens </w:t>
            </w:r>
          </w:p>
          <w:p w14:paraId="7F9045A4" w14:textId="77777777" w:rsidR="005C70C0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verksamhet </w:t>
            </w:r>
            <w:hyperlink r:id="rId4" w:history="1">
              <w:r w:rsidRPr="00CB581A">
                <w:rPr>
                  <w:rStyle w:val="Hyperlnk"/>
                  <w:rFonts w:ascii="Arial" w:eastAsia="Times New Roman" w:hAnsi="Arial" w:cs="Arial"/>
                  <w:sz w:val="22"/>
                  <w:szCs w:val="22"/>
                </w:rPr>
                <w:t>www.motionspokalen.com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14:paraId="5CCCAC59" w14:textId="77777777" w:rsidR="005C70C0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Vår web-master och statistikansvarige Daniel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Hanngren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sköter inläggningen.</w:t>
            </w:r>
          </w:p>
          <w:p w14:paraId="32FCB144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5C70C0" w:rsidRPr="00114DEE" w14:paraId="14284640" w14:textId="77777777" w:rsidTr="005C70C0">
        <w:trPr>
          <w:trHeight w:val="260"/>
        </w:trPr>
        <w:tc>
          <w:tcPr>
            <w:tcW w:w="19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C57FD" w14:textId="77777777" w:rsidR="005C70C0" w:rsidRPr="00114DEE" w:rsidRDefault="005C70C0" w:rsidP="0055692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E-post</w:t>
            </w:r>
          </w:p>
        </w:tc>
      </w:tr>
      <w:tr w:rsidR="005C70C0" w:rsidRPr="00114DEE" w14:paraId="26C2A30C" w14:textId="77777777" w:rsidTr="00556923">
        <w:trPr>
          <w:gridAfter w:val="3"/>
          <w:wAfter w:w="7189" w:type="dxa"/>
          <w:trHeight w:val="26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BC7B6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Som vi tidigare meddelat är det möjligt erhålla allt material som distribueras till medlemmarna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6F61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50D22078" w14:textId="77777777" w:rsidTr="00556923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CFCA" w14:textId="4338F774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via E-post. Du som kan tänka dig de</w:t>
            </w:r>
            <w:r w:rsidR="00D32B1D">
              <w:rPr>
                <w:rFonts w:ascii="Arial" w:eastAsia="Times New Roman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distributionsformen 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skicka ett mail till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5" w:history="1">
              <w:r w:rsidRPr="00CB581A">
                <w:rPr>
                  <w:rStyle w:val="Hyperlnk"/>
                  <w:rFonts w:ascii="Arial" w:eastAsia="Times New Roman" w:hAnsi="Arial" w:cs="Arial"/>
                  <w:sz w:val="22"/>
                  <w:szCs w:val="22"/>
                </w:rPr>
                <w:t>motionspokalen@hotmail.se</w:t>
              </w:r>
            </w:hyperlink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3659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D67C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514D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D35C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48D7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653EF266" w14:textId="77777777" w:rsidTr="00556923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768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130D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E862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7F1CF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75DB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1C5D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C70C0" w:rsidRPr="00114DEE" w14:paraId="3E999D27" w14:textId="77777777" w:rsidTr="005C70C0">
        <w:trPr>
          <w:trHeight w:val="260"/>
        </w:trPr>
        <w:tc>
          <w:tcPr>
            <w:tcW w:w="19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6325C" w14:textId="77777777" w:rsidR="005C70C0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Styrelsen genom</w:t>
            </w:r>
          </w:p>
          <w:p w14:paraId="2C26BE34" w14:textId="77777777" w:rsidR="005C70C0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55B8F01" w14:textId="77777777" w:rsidR="005C70C0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48A0976" w14:textId="77777777" w:rsidR="005C70C0" w:rsidRPr="00114DEE" w:rsidRDefault="005C70C0" w:rsidP="0055692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Lars-Eric Dahlstedt</w:t>
            </w:r>
          </w:p>
        </w:tc>
      </w:tr>
    </w:tbl>
    <w:p w14:paraId="262EBE3B" w14:textId="77777777" w:rsidR="005C70C0" w:rsidRDefault="005C70C0" w:rsidP="005C70C0"/>
    <w:p w14:paraId="3DA2DF8D" w14:textId="77777777" w:rsidR="00F2727B" w:rsidRDefault="006A1DAF"/>
    <w:sectPr w:rsidR="00F2727B" w:rsidSect="00CB1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0"/>
    <w:rsid w:val="000C23D7"/>
    <w:rsid w:val="00415063"/>
    <w:rsid w:val="00571EB9"/>
    <w:rsid w:val="005C70C0"/>
    <w:rsid w:val="006A1DAF"/>
    <w:rsid w:val="00B20CAA"/>
    <w:rsid w:val="00D32B1D"/>
    <w:rsid w:val="00DC59D8"/>
    <w:rsid w:val="00DF0AA8"/>
    <w:rsid w:val="00F4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181A0"/>
  <w15:chartTrackingRefBased/>
  <w15:docId w15:val="{F4F8B16B-AFCE-A445-812D-C685986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C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7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ionspokalen@hotmail.se" TargetMode="External"/><Relationship Id="rId4" Type="http://schemas.openxmlformats.org/officeDocument/2006/relationships/hyperlink" Target="http://www.motionspokal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2022-01-27T09:28:00Z</dcterms:created>
  <dcterms:modified xsi:type="dcterms:W3CDTF">2022-01-27T09:28:00Z</dcterms:modified>
</cp:coreProperties>
</file>